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3D9" w14:textId="379A27F8" w:rsidR="00AA2E10" w:rsidRPr="00AA2E10" w:rsidRDefault="00092E31" w:rsidP="00092E3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14:paraId="1D03BBA4" w14:textId="5AC30C31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60936F10">
            <wp:simplePos x="0" y="0"/>
            <wp:positionH relativeFrom="page">
              <wp:posOffset>3648075</wp:posOffset>
            </wp:positionH>
            <wp:positionV relativeFrom="page">
              <wp:posOffset>1259840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A1AF70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217FF5C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A2F0F1C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24C27A71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EB4BB4">
        <w:rPr>
          <w:rFonts w:ascii="Times New Roman" w:hAnsi="Times New Roman"/>
          <w:sz w:val="28"/>
          <w:szCs w:val="28"/>
        </w:rPr>
        <w:t>0</w:t>
      </w:r>
      <w:r w:rsidR="00722204">
        <w:rPr>
          <w:rFonts w:ascii="Times New Roman" w:hAnsi="Times New Roman"/>
          <w:sz w:val="28"/>
          <w:szCs w:val="28"/>
        </w:rPr>
        <w:t>7</w:t>
      </w:r>
      <w:r w:rsidR="003C1963">
        <w:rPr>
          <w:rFonts w:ascii="Times New Roman" w:hAnsi="Times New Roman"/>
          <w:sz w:val="28"/>
          <w:szCs w:val="28"/>
        </w:rPr>
        <w:t>.202</w:t>
      </w:r>
      <w:r w:rsidR="00EB4BB4">
        <w:rPr>
          <w:rFonts w:ascii="Times New Roman" w:hAnsi="Times New Roman"/>
          <w:sz w:val="28"/>
          <w:szCs w:val="28"/>
        </w:rPr>
        <w:t>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0E172757" w:rsidR="006C5C54" w:rsidRDefault="006C5C54" w:rsidP="00D714D1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2F697C">
        <w:rPr>
          <w:rFonts w:ascii="Times New Roman" w:hAnsi="Times New Roman"/>
          <w:sz w:val="28"/>
          <w:szCs w:val="28"/>
        </w:rPr>
        <w:t xml:space="preserve">приложение к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2F697C">
        <w:rPr>
          <w:rFonts w:ascii="Times New Roman" w:hAnsi="Times New Roman"/>
          <w:sz w:val="28"/>
          <w:szCs w:val="28"/>
        </w:rPr>
        <w:t>ю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2263953C" w14:textId="212AAF61" w:rsidR="002F697C" w:rsidRPr="00E863D1" w:rsidRDefault="002F697C" w:rsidP="00D714D1">
      <w:pPr>
        <w:pStyle w:val="a7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</w:t>
      </w:r>
      <w:r w:rsidR="00B10F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5755371F" w14:textId="14DAD4A5" w:rsidR="00074C61" w:rsidRPr="00E863D1" w:rsidRDefault="006F376F" w:rsidP="002F69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2981"/>
        <w:gridCol w:w="2693"/>
        <w:gridCol w:w="1661"/>
        <w:gridCol w:w="1740"/>
        <w:gridCol w:w="1560"/>
        <w:gridCol w:w="1591"/>
      </w:tblGrid>
      <w:tr w:rsidR="00322BF6" w:rsidRPr="00322BF6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F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14:paraId="481BB779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14:paraId="6A5A7A17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322BF6" w:rsidRPr="00322BF6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14:paraId="2202B68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14:paraId="5D2063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14:paraId="3E953FB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14:paraId="7EBB68F6" w14:textId="77777777" w:rsidR="009B3FE2" w:rsidRPr="00322BF6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14:paraId="76B698C1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4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5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22BF6" w:rsidRPr="00322BF6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3425C6B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14:paraId="28441472" w14:textId="146E7F4B" w:rsidR="009B3FE2" w:rsidRPr="00322BF6" w:rsidRDefault="00294E68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1 644 145,5</w:t>
            </w:r>
          </w:p>
        </w:tc>
        <w:tc>
          <w:tcPr>
            <w:tcW w:w="588" w:type="pct"/>
          </w:tcPr>
          <w:p w14:paraId="56D13054" w14:textId="1C0A33C4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</w:tcPr>
          <w:p w14:paraId="3237FB54" w14:textId="5A832D5E" w:rsidR="009B3FE2" w:rsidRPr="00322BF6" w:rsidRDefault="00294E68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421 131,3</w:t>
            </w:r>
          </w:p>
        </w:tc>
        <w:tc>
          <w:tcPr>
            <w:tcW w:w="552" w:type="pct"/>
          </w:tcPr>
          <w:p w14:paraId="28B1A62D" w14:textId="02FB4553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403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690,6</w:t>
            </w:r>
          </w:p>
        </w:tc>
        <w:tc>
          <w:tcPr>
            <w:tcW w:w="563" w:type="pct"/>
          </w:tcPr>
          <w:p w14:paraId="4240CBF6" w14:textId="177D1B49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803,9</w:t>
            </w:r>
          </w:p>
        </w:tc>
      </w:tr>
      <w:tr w:rsidR="00322BF6" w:rsidRPr="00322BF6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C81939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14:paraId="220718BD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54CD63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FC1CCD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8DD744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0E1058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14:paraId="539E6688" w14:textId="49AC9989" w:rsidR="009B3FE2" w:rsidRPr="00322BF6" w:rsidRDefault="0094797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588" w:type="pct"/>
          </w:tcPr>
          <w:p w14:paraId="7ED062B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</w:tcPr>
          <w:p w14:paraId="1B68270E" w14:textId="1AED008E" w:rsidR="009B3FE2" w:rsidRPr="00322BF6" w:rsidRDefault="0094797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552" w:type="pct"/>
          </w:tcPr>
          <w:p w14:paraId="05AF0175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59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66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2BF6" w:rsidRPr="00322BF6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EB667F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14:paraId="46BF64F8" w14:textId="64254A4A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839 030,9</w:t>
            </w:r>
          </w:p>
        </w:tc>
        <w:tc>
          <w:tcPr>
            <w:tcW w:w="588" w:type="pct"/>
          </w:tcPr>
          <w:p w14:paraId="379149B2" w14:textId="39574BBF" w:rsidR="009B3FE2" w:rsidRPr="00322BF6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</w:tcPr>
          <w:p w14:paraId="5BC51611" w14:textId="0405EFB4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216 473,3</w:t>
            </w:r>
          </w:p>
        </w:tc>
        <w:tc>
          <w:tcPr>
            <w:tcW w:w="552" w:type="pct"/>
          </w:tcPr>
          <w:p w14:paraId="32EC734D" w14:textId="01B4949E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63" w:type="pct"/>
          </w:tcPr>
          <w:p w14:paraId="341024BE" w14:textId="55FA66BB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322BF6" w:rsidRPr="00322BF6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A3B313C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14:paraId="4BDCCD9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70C92C4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70B529C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110FDA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6DD461DA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14:paraId="07BAE195" w14:textId="711FBF95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832 671,5</w:t>
            </w:r>
          </w:p>
        </w:tc>
        <w:tc>
          <w:tcPr>
            <w:tcW w:w="588" w:type="pct"/>
          </w:tcPr>
          <w:p w14:paraId="276CCE7F" w14:textId="09595923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</w:tcPr>
          <w:p w14:paraId="143AAEEA" w14:textId="58182735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214 861,9</w:t>
            </w:r>
          </w:p>
        </w:tc>
        <w:tc>
          <w:tcPr>
            <w:tcW w:w="552" w:type="pct"/>
          </w:tcPr>
          <w:p w14:paraId="2A54F324" w14:textId="218E7B69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63" w:type="pct"/>
          </w:tcPr>
          <w:p w14:paraId="18008565" w14:textId="11AD0261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322BF6" w:rsidRPr="00322BF6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46A3FC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14:paraId="7B1D4CF8" w14:textId="77777777" w:rsidR="009B3FE2" w:rsidRPr="00322BF6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</w:tcPr>
          <w:p w14:paraId="2E1EAF3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</w:tcPr>
          <w:p w14:paraId="6A34CB30" w14:textId="77777777" w:rsidR="009B3FE2" w:rsidRPr="00322BF6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</w:tcPr>
          <w:p w14:paraId="0663D419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322BF6" w:rsidRPr="00322BF6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6DD390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E0997B" w14:textId="77777777" w:rsidR="009B3FE2" w:rsidRPr="00322BF6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953" w:type="pct"/>
          </w:tcPr>
          <w:p w14:paraId="066CCD7E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7140B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76F7E4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F0533D4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9B8C6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409ABBB3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14:paraId="0B1FA7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86051A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0229B39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4DA55C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2586EE9F" w14:textId="291CE385" w:rsidR="0094728F" w:rsidRDefault="004C5E38" w:rsidP="004C5E38">
      <w:pPr>
        <w:pStyle w:val="a9"/>
        <w:numPr>
          <w:ilvl w:val="1"/>
          <w:numId w:val="17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«</w:t>
      </w:r>
      <w:r w:rsidR="0094728F" w:rsidRPr="004C5E38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14:paraId="59DE5BA5" w14:textId="253AF266" w:rsidR="004C5E38" w:rsidRPr="004C5E38" w:rsidRDefault="004C5E38" w:rsidP="004C5E38">
      <w:pPr>
        <w:pStyle w:val="a9"/>
        <w:tabs>
          <w:tab w:val="left" w:pos="1978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71"/>
        <w:gridCol w:w="1470"/>
        <w:gridCol w:w="3708"/>
        <w:gridCol w:w="1094"/>
        <w:gridCol w:w="948"/>
        <w:gridCol w:w="962"/>
        <w:gridCol w:w="982"/>
        <w:gridCol w:w="976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 xml:space="preserve">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6DD57109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2E54DB50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255EC8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DC2EDB5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171B" w14:textId="685DF592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D4581D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1DF00954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B19E7" w14:textId="24B3282B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5711D933" w:rsidR="00501A1F" w:rsidRPr="00FC24DC" w:rsidRDefault="00F6563A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149 725,1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FC24DC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7D1D6E17" w:rsidR="00501A1F" w:rsidRPr="00FC24DC" w:rsidRDefault="00974D9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44 080,3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6B140A1E" w:rsidR="00501A1F" w:rsidRPr="00FC24DC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38EFC963" w:rsidR="00501A1F" w:rsidRPr="00FC24DC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310780C6" w:rsidR="00501A1F" w:rsidRPr="00FC24DC" w:rsidRDefault="00F6563A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2932,6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FC24DC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0C2002A7" w:rsidR="00501A1F" w:rsidRPr="00FC24DC" w:rsidRDefault="00F6563A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797,1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FC24DC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FC24DC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157737BD" w:rsidR="00786D0C" w:rsidRPr="00FC24DC" w:rsidRDefault="00F6563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146 792,5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FC24DC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5D5AAB6B" w:rsidR="00786D0C" w:rsidRPr="00FC24DC" w:rsidRDefault="00F6563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43 283,2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16CE7ED4" w:rsidR="00786D0C" w:rsidRPr="00FC24DC" w:rsidRDefault="00DD612E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0467B1BC" w:rsidR="00786D0C" w:rsidRPr="00FC24DC" w:rsidRDefault="00DD612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974D9E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974D9E" w:rsidRPr="00AA2E10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974D9E" w:rsidRPr="00AA2E10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974D9E" w:rsidRPr="00AA2E10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974D9E" w:rsidRPr="00AA2E10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3C19F211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149 725,1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1EAD1CCF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4125D90B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44 080,3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143A72CC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7EB081EF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974D9E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974D9E" w:rsidRPr="00AA2E10" w:rsidRDefault="00974D9E" w:rsidP="00974D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974D9E" w:rsidRPr="00AA2E10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974D9E" w:rsidRPr="00AA2E10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974D9E" w:rsidRPr="00AA2E10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3FF8A76E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2932,6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365C259E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355F5EB4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797,1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50D06484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36C02588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974D9E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974D9E" w:rsidRPr="00AA2E10" w:rsidRDefault="00974D9E" w:rsidP="00974D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974D9E" w:rsidRPr="00AA2E10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974D9E" w:rsidRPr="00AA2E10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974D9E" w:rsidRPr="00AA2E10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57806569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146 792,5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0FFE3616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591EB528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43 283,2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6F8F42D9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564DC539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45BA3E38" w:rsidR="00786D0C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203 417,2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3401FEF9" w:rsidR="00786D0C" w:rsidRPr="00FC24DC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38BBE33B" w:rsidR="00786D0C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59 080,3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147670F7" w:rsidR="00786D0C" w:rsidRPr="00FC24DC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130518ED" w:rsidR="00786D0C" w:rsidRPr="00FC24DC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0EAE10F5" w:rsidR="00484CA7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2 932,6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FC24DC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667EF208" w:rsidR="00484CA7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797,1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FC24DC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FC24DC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7B3C7963" w:rsidR="00786D0C" w:rsidRPr="00FC24DC" w:rsidRDefault="00FC24D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200 484,6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6E0686CA" w:rsidR="00786D0C" w:rsidRPr="00FC24DC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3031AC6B" w:rsidR="00786D0C" w:rsidRPr="00FC24DC" w:rsidRDefault="00FC24D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58 283,2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164B9989" w:rsidR="00786D0C" w:rsidRPr="00FC24DC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6F203D73" w:rsidR="00786D0C" w:rsidRPr="00FC24DC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8C99DCE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2A2526D7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0057B8BC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5B701D1B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5C7F2B7A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2D87423D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0C550493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0F04E96E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09FF3078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1324056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E3549C9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4814996F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07BDA5A8" w:rsidR="00786D0C" w:rsidRPr="009202EF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430FD135" w:rsidR="00786D0C" w:rsidRPr="009202EF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397</w:t>
            </w:r>
            <w:r w:rsidR="00AF1D90" w:rsidRPr="009202EF">
              <w:rPr>
                <w:rFonts w:ascii="Times New Roman" w:hAnsi="Times New Roman"/>
              </w:rPr>
              <w:t>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57F62303" w:rsidR="00786D0C" w:rsidRPr="009202EF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3666C499" w:rsidR="00786D0C" w:rsidRPr="009202EF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03309CD" w:rsidR="00786D0C" w:rsidRPr="009202EF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2145A80A" w:rsidR="00786D0C" w:rsidRPr="00487187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0F235F2E" w:rsidR="00786D0C" w:rsidRPr="00487187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487187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</w:t>
            </w:r>
            <w:r w:rsidR="00BC24C3" w:rsidRPr="00487187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487187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</w:t>
            </w:r>
            <w:r w:rsidR="00BC24C3" w:rsidRPr="00487187">
              <w:rPr>
                <w:rFonts w:ascii="Times New Roman" w:hAnsi="Times New Roman"/>
              </w:rPr>
              <w:t> 366,7</w:t>
            </w:r>
          </w:p>
        </w:tc>
      </w:tr>
      <w:tr w:rsidR="00487187" w:rsidRPr="00487187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7DA5E40A" w:rsidR="00786D0C" w:rsidRPr="00487187" w:rsidRDefault="009202EF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2E21503B" w:rsidR="00786D0C" w:rsidRPr="00487187" w:rsidRDefault="00AF1D90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03FD6C00" w:rsidR="00786D0C" w:rsidRPr="00487187" w:rsidRDefault="009202E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4FA68038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3E1B7910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487187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487187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487187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032B5523" w:rsidR="00786D0C" w:rsidRPr="00487187" w:rsidRDefault="009202EF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64353AD2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</w:t>
            </w:r>
            <w:r w:rsidR="00AF1D90" w:rsidRPr="00487187">
              <w:rPr>
                <w:rFonts w:ascii="Times New Roman" w:hAnsi="Times New Roman"/>
              </w:rPr>
              <w:t>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78516375" w:rsidR="00786D0C" w:rsidRPr="00487187" w:rsidRDefault="009202EF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36D04E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696406E9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487187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487187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487187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487187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  <w:tr w:rsidR="00487187" w:rsidRPr="00487187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487187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7187" w:rsidRPr="00487187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487187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</w:tr>
      <w:tr w:rsidR="00487187" w:rsidRPr="00487187" w14:paraId="0956E657" w14:textId="77777777" w:rsidTr="004C0F4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0D1" w14:textId="5EF8F61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D702" w14:textId="709F742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53B2" w14:textId="78454DD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CA20" w14:textId="26640F8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0E35" w14:textId="770C25F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7E40D662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3C0" w14:textId="7FB41BB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E58" w14:textId="69E065F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9EC1" w14:textId="2969FCA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2475" w14:textId="6791FF3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8E40" w14:textId="12ECDFC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216 366,7</w:t>
            </w:r>
          </w:p>
        </w:tc>
      </w:tr>
      <w:tr w:rsidR="00487187" w:rsidRPr="00487187" w14:paraId="3278D5D4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756" w14:textId="0D1D67E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412" w14:textId="78A2103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CA9B" w14:textId="0D24109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4DD" w14:textId="7459AC3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EC87" w14:textId="7B46B01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6DE46FEF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8E0E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9883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A2DF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1136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3A68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56983C03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574" w14:textId="499DDE6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254E" w14:textId="03C710D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E3BA" w14:textId="6D5BF32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077F" w14:textId="73810ED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846F" w14:textId="757DA8B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1EF72DCA" w14:textId="77777777" w:rsidTr="00680CA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3FE648D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37D2978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345F" w14:textId="5F5062E5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FB8C" w14:textId="4B98CC95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1E4C" w14:textId="0CDCA50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  <w:tr w:rsidR="00487187" w:rsidRPr="00487187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487187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Инвестиции в объекты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487187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</w:tr>
      <w:tr w:rsidR="00487187" w:rsidRPr="00487187" w14:paraId="5A3D01C6" w14:textId="77777777" w:rsidTr="00BD6D50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BCE3" w14:textId="59357C4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23EF" w14:textId="0939571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6EFF" w14:textId="4A87909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317C" w14:textId="4CDA04C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3DD5" w14:textId="111A10A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3ADA509D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8914" w14:textId="19595D8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BE53" w14:textId="49D1F990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4BF2" w14:textId="579C7E2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5BEE" w14:textId="358C19B4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8B36" w14:textId="0281EF0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216 366,7</w:t>
            </w:r>
          </w:p>
        </w:tc>
      </w:tr>
      <w:tr w:rsidR="00487187" w:rsidRPr="00487187" w14:paraId="284B563E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C9F5" w14:textId="42CFE000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7BEB" w14:textId="6348EE6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BDE2" w14:textId="27966C44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D4D" w14:textId="1357A53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82BD" w14:textId="3656D98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1755630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22CE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293A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8199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70CB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B0E04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46BD642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C480" w14:textId="2F9ED80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1813" w14:textId="6039B1F5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65DF" w14:textId="0DBADFC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F519" w14:textId="0513B89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F29" w14:textId="642B2FA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2CCDA1F2" w14:textId="77777777" w:rsidTr="001337B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17546D0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1D8F7454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3D42" w14:textId="5FA3ADC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0E579" w14:textId="2E05C63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F3EE" w14:textId="5CC0F99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  <w:tr w:rsidR="00487187" w:rsidRPr="00487187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487187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7187" w:rsidRPr="00487187" w14:paraId="51CF9011" w14:textId="77777777" w:rsidTr="00E02C22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7777777" w:rsidR="009202EF" w:rsidRPr="00AA2E10" w:rsidRDefault="009202EF" w:rsidP="009202E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0CBB0392" w14:textId="77777777" w:rsidR="009202EF" w:rsidRPr="00AA2E10" w:rsidRDefault="009202EF" w:rsidP="009202EF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C6B" w14:textId="0D7DA3B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BD40" w14:textId="6F7E1AD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2BEB" w14:textId="674201B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D753" w14:textId="0F91BB7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55DB" w14:textId="5895CB1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62FF13F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310E" w14:textId="1B83308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A5DA" w14:textId="2AF0AF5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65C7" w14:textId="2C7BF86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083" w14:textId="3D997C0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58D0" w14:textId="146238F0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216 366,7</w:t>
            </w:r>
          </w:p>
        </w:tc>
      </w:tr>
      <w:tr w:rsidR="00487187" w:rsidRPr="00487187" w14:paraId="6C6D6A7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2C90" w14:textId="024F3C6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4224" w14:textId="1529071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30E6" w14:textId="22CB082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CEE1" w14:textId="4C6B523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97A17" w14:textId="0131B73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1CB04447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DC51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13E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A7DFD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1AEBE181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64E44F8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105C38D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5A67" w14:textId="6F8051A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F32A" w14:textId="7FAC863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A729E" w14:textId="2A387FE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60A65B5D" w14:textId="77777777" w:rsidTr="009D1C5B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1A9164F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4950539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86C3" w14:textId="2F7AB7C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F08F" w14:textId="45FFDA3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7265" w14:textId="1B2691F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</w:tbl>
    <w:p w14:paraId="17DC75A5" w14:textId="6EB4D1D9" w:rsidR="00E547D5" w:rsidRPr="00EB4489" w:rsidRDefault="00EB4489" w:rsidP="00EB4489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B4489">
        <w:rPr>
          <w:rFonts w:ascii="Times New Roman" w:hAnsi="Times New Roman"/>
          <w:sz w:val="28"/>
          <w:szCs w:val="28"/>
          <w:lang w:eastAsia="en-US"/>
        </w:rPr>
        <w:t>».</w:t>
      </w:r>
    </w:p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4D313F30" w14:textId="18ECA767" w:rsidR="00E67C46" w:rsidRPr="00E67C46" w:rsidRDefault="00E67C46" w:rsidP="00E67C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постановление в газете «Наш район»,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7551F877" w14:textId="02EF82FB" w:rsidR="00E67C46" w:rsidRPr="00E67C46" w:rsidRDefault="00E67C46" w:rsidP="00E67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7C46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DE0D569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7777777"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К.Р.Минулин</w:t>
      </w:r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7935" w14:textId="77777777" w:rsidR="005508FE" w:rsidRDefault="005508FE" w:rsidP="00BC0C69">
      <w:pPr>
        <w:spacing w:after="0" w:line="240" w:lineRule="auto"/>
      </w:pPr>
      <w:r>
        <w:separator/>
      </w:r>
    </w:p>
  </w:endnote>
  <w:endnote w:type="continuationSeparator" w:id="0">
    <w:p w14:paraId="2A62C9F3" w14:textId="77777777" w:rsidR="005508FE" w:rsidRDefault="005508F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6307" w14:textId="77777777" w:rsidR="005508FE" w:rsidRDefault="005508FE" w:rsidP="00BC0C69">
      <w:pPr>
        <w:spacing w:after="0" w:line="240" w:lineRule="auto"/>
      </w:pPr>
      <w:r>
        <w:separator/>
      </w:r>
    </w:p>
  </w:footnote>
  <w:footnote w:type="continuationSeparator" w:id="0">
    <w:p w14:paraId="5692E211" w14:textId="77777777" w:rsidR="005508FE" w:rsidRDefault="005508F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C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24C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3058">
    <w:abstractNumId w:val="3"/>
  </w:num>
  <w:num w:numId="2" w16cid:durableId="735515277">
    <w:abstractNumId w:val="1"/>
  </w:num>
  <w:num w:numId="3" w16cid:durableId="1426533831">
    <w:abstractNumId w:val="4"/>
  </w:num>
  <w:num w:numId="4" w16cid:durableId="1727290043">
    <w:abstractNumId w:val="14"/>
  </w:num>
  <w:num w:numId="5" w16cid:durableId="2057585749">
    <w:abstractNumId w:val="6"/>
  </w:num>
  <w:num w:numId="6" w16cid:durableId="228078979">
    <w:abstractNumId w:val="12"/>
  </w:num>
  <w:num w:numId="7" w16cid:durableId="1481114634">
    <w:abstractNumId w:val="9"/>
  </w:num>
  <w:num w:numId="8" w16cid:durableId="796072597">
    <w:abstractNumId w:val="13"/>
  </w:num>
  <w:num w:numId="9" w16cid:durableId="1342900226">
    <w:abstractNumId w:val="0"/>
  </w:num>
  <w:num w:numId="10" w16cid:durableId="1301230121">
    <w:abstractNumId w:val="11"/>
  </w:num>
  <w:num w:numId="11" w16cid:durableId="2008241131">
    <w:abstractNumId w:val="7"/>
  </w:num>
  <w:num w:numId="12" w16cid:durableId="1159004583">
    <w:abstractNumId w:val="8"/>
  </w:num>
  <w:num w:numId="13" w16cid:durableId="626085196">
    <w:abstractNumId w:val="15"/>
  </w:num>
  <w:num w:numId="14" w16cid:durableId="1559627454">
    <w:abstractNumId w:val="2"/>
  </w:num>
  <w:num w:numId="15" w16cid:durableId="231621987">
    <w:abstractNumId w:val="5"/>
  </w:num>
  <w:num w:numId="16" w16cid:durableId="735779556">
    <w:abstractNumId w:val="16"/>
  </w:num>
  <w:num w:numId="17" w16cid:durableId="14855082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6E4"/>
    <w:rsid w:val="00943D67"/>
    <w:rsid w:val="00945095"/>
    <w:rsid w:val="00945419"/>
    <w:rsid w:val="00945491"/>
    <w:rsid w:val="0094581C"/>
    <w:rsid w:val="0094728F"/>
    <w:rsid w:val="0094797D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BA60-7794-4BAC-B309-2FB491E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142</cp:revision>
  <cp:lastPrinted>2022-10-11T04:49:00Z</cp:lastPrinted>
  <dcterms:created xsi:type="dcterms:W3CDTF">2021-10-20T05:31:00Z</dcterms:created>
  <dcterms:modified xsi:type="dcterms:W3CDTF">2023-06-29T11:25:00Z</dcterms:modified>
</cp:coreProperties>
</file>